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.25pt" o:ole="">
            <v:imagedata r:id="rId8" o:title=""/>
          </v:shape>
          <o:OLEObject Type="Embed" ProgID="CorelDraw.Graphic.12" ShapeID="_x0000_i1025" DrawAspect="Content" ObjectID="_1614158808" r:id="rId9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«ЮЖНО-КАВКАЗСКАЯ ЖЕЛЕЗНАЯ ДОРОГА»</w:t>
      </w:r>
    </w:p>
    <w:p w:rsidR="000552E2" w:rsidRDefault="006D2AB4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0552E2">
        <w:rPr>
          <w:b/>
          <w:sz w:val="28"/>
          <w:lang w:val="ru-RU"/>
        </w:rPr>
        <w:t>(</w:t>
      </w:r>
      <w:r>
        <w:rPr>
          <w:rFonts w:ascii="Sylfaen" w:hAnsi="Sylfaen"/>
          <w:b/>
          <w:sz w:val="28"/>
          <w:lang w:val="ru-RU"/>
        </w:rPr>
        <w:t>ЗАО «ЮКЖД»</w:t>
      </w:r>
      <w:r w:rsidR="000552E2">
        <w:rPr>
          <w:b/>
          <w:sz w:val="28"/>
          <w:lang w:val="ru-RU"/>
        </w:rPr>
        <w:t>)</w:t>
      </w:r>
    </w:p>
    <w:p w:rsidR="000552E2" w:rsidRDefault="000552E2" w:rsidP="00187ACE">
      <w:pPr>
        <w:spacing w:line="276" w:lineRule="auto"/>
        <w:ind w:left="2881" w:right="-142" w:firstLine="380"/>
        <w:jc w:val="center"/>
        <w:rPr>
          <w:b/>
          <w:sz w:val="28"/>
          <w:lang w:val="ru-RU"/>
        </w:rPr>
      </w:pPr>
    </w:p>
    <w:p w:rsidR="006D2AB4" w:rsidRPr="006D2AB4" w:rsidRDefault="006D2AB4" w:rsidP="006D2AB4">
      <w:pPr>
        <w:pStyle w:val="a3"/>
        <w:tabs>
          <w:tab w:val="left" w:pos="426"/>
        </w:tabs>
        <w:spacing w:line="360" w:lineRule="exact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В</w:t>
      </w:r>
      <w:r w:rsidRPr="006D2AB4">
        <w:rPr>
          <w:rFonts w:ascii="Times New Roman" w:hAnsi="Times New Roman"/>
          <w:sz w:val="28"/>
          <w:szCs w:val="28"/>
          <w:lang w:val="ru-RU"/>
        </w:rPr>
        <w:t xml:space="preserve"> рамках проводимой Тарифной политики ЗАО «ЮКЖД» на 2019 фрахтовый год для расчета стоимости перевозки грузов во 2-ом квартале:</w:t>
      </w:r>
    </w:p>
    <w:p w:rsidR="006D2AB4" w:rsidRPr="006D2AB4" w:rsidRDefault="006D2AB4" w:rsidP="006D2AB4">
      <w:pPr>
        <w:pStyle w:val="a3"/>
        <w:numPr>
          <w:ilvl w:val="0"/>
          <w:numId w:val="8"/>
        </w:numPr>
        <w:tabs>
          <w:tab w:val="left" w:pos="142"/>
        </w:tabs>
        <w:spacing w:line="360" w:lineRule="exact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D2AB4">
        <w:rPr>
          <w:rFonts w:ascii="Times New Roman" w:hAnsi="Times New Roman"/>
          <w:sz w:val="28"/>
          <w:szCs w:val="28"/>
          <w:lang w:val="ru-RU"/>
        </w:rPr>
        <w:t xml:space="preserve"> с 01.04.2019г. по 30.06.2019г. при расчете провозной платы за перевозки грузов, в зависимости от дальности перевозок, будут применятся коэффициенты, указанные в Таблице1</w:t>
      </w:r>
      <w:r w:rsidRPr="006D2AB4">
        <w:rPr>
          <w:rFonts w:ascii="Times New Roman" w:hAnsi="Times New Roman"/>
          <w:sz w:val="28"/>
          <w:szCs w:val="28"/>
          <w:lang w:val="hy-AM"/>
        </w:rPr>
        <w:t>:</w:t>
      </w:r>
    </w:p>
    <w:p w:rsidR="006D2AB4" w:rsidRPr="006D2AB4" w:rsidRDefault="006D2AB4" w:rsidP="006D2AB4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2AB4">
        <w:rPr>
          <w:rFonts w:ascii="Times New Roman" w:hAnsi="Times New Roman"/>
          <w:b/>
          <w:sz w:val="28"/>
          <w:szCs w:val="28"/>
          <w:lang w:val="ru-RU"/>
        </w:rPr>
        <w:t>Таблица 1.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3"/>
        <w:gridCol w:w="1451"/>
        <w:gridCol w:w="1809"/>
      </w:tblGrid>
      <w:tr w:rsidR="006D2AB4" w:rsidRPr="006D2AB4" w:rsidTr="00016D33">
        <w:trPr>
          <w:trHeight w:val="497"/>
          <w:jc w:val="center"/>
        </w:trPr>
        <w:tc>
          <w:tcPr>
            <w:tcW w:w="6413" w:type="dxa"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</w:pPr>
            <w:r w:rsidRPr="006D2AB4">
              <w:t>Тип подвижного состава</w:t>
            </w:r>
          </w:p>
        </w:tc>
        <w:tc>
          <w:tcPr>
            <w:tcW w:w="1451" w:type="dxa"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</w:pPr>
            <w:r w:rsidRPr="006D2AB4">
              <w:t>Пояс дальности</w:t>
            </w:r>
          </w:p>
        </w:tc>
        <w:tc>
          <w:tcPr>
            <w:tcW w:w="1809" w:type="dxa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</w:pPr>
            <w:r w:rsidRPr="006D2AB4">
              <w:t>Kоэффициент</w:t>
            </w:r>
          </w:p>
        </w:tc>
      </w:tr>
      <w:tr w:rsidR="006D2AB4" w:rsidRPr="006D2AB4" w:rsidTr="00016D33">
        <w:trPr>
          <w:trHeight w:val="491"/>
          <w:jc w:val="center"/>
        </w:trPr>
        <w:tc>
          <w:tcPr>
            <w:tcW w:w="6413" w:type="dxa"/>
            <w:vMerge w:val="restart"/>
            <w:vAlign w:val="center"/>
          </w:tcPr>
          <w:p w:rsidR="006D2AB4" w:rsidRPr="006D2AB4" w:rsidRDefault="006D2AB4" w:rsidP="006D2AB4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 w:rsidRPr="006D2AB4"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51" w:type="dxa"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</w:pPr>
            <w:r w:rsidRPr="006D2AB4">
              <w:t>до 250 км</w:t>
            </w:r>
          </w:p>
        </w:tc>
        <w:tc>
          <w:tcPr>
            <w:tcW w:w="1809" w:type="dxa"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  <w:rPr>
                <w:lang w:val="ru-RU"/>
              </w:rPr>
            </w:pPr>
            <w:r w:rsidRPr="006D2AB4">
              <w:t>0,</w:t>
            </w:r>
            <w:r w:rsidRPr="006D2AB4">
              <w:rPr>
                <w:lang w:val="ru-RU"/>
              </w:rPr>
              <w:t>93</w:t>
            </w:r>
          </w:p>
        </w:tc>
      </w:tr>
      <w:tr w:rsidR="006D2AB4" w:rsidRPr="006D2AB4" w:rsidTr="00016D33">
        <w:trPr>
          <w:trHeight w:val="427"/>
          <w:jc w:val="center"/>
        </w:trPr>
        <w:tc>
          <w:tcPr>
            <w:tcW w:w="6413" w:type="dxa"/>
            <w:vMerge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</w:pPr>
            <w:r w:rsidRPr="006D2AB4">
              <w:t>с 251 км</w:t>
            </w:r>
          </w:p>
        </w:tc>
        <w:tc>
          <w:tcPr>
            <w:tcW w:w="1809" w:type="dxa"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  <w:rPr>
                <w:lang w:val="ru-RU"/>
              </w:rPr>
            </w:pPr>
            <w:r w:rsidRPr="006D2AB4">
              <w:t>0,9</w:t>
            </w:r>
            <w:r w:rsidRPr="006D2AB4">
              <w:rPr>
                <w:lang w:val="ru-RU"/>
              </w:rPr>
              <w:t>6</w:t>
            </w:r>
          </w:p>
        </w:tc>
      </w:tr>
      <w:tr w:rsidR="006D2AB4" w:rsidRPr="006D2AB4" w:rsidTr="00016D33">
        <w:trPr>
          <w:trHeight w:val="285"/>
          <w:jc w:val="center"/>
        </w:trPr>
        <w:tc>
          <w:tcPr>
            <w:tcW w:w="6413" w:type="dxa"/>
            <w:vMerge w:val="restart"/>
            <w:vAlign w:val="center"/>
          </w:tcPr>
          <w:p w:rsidR="006D2AB4" w:rsidRPr="006D2AB4" w:rsidRDefault="006D2AB4" w:rsidP="006D2AB4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 w:rsidRPr="006D2AB4"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51" w:type="dxa"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</w:pPr>
            <w:r w:rsidRPr="006D2AB4">
              <w:t>до 250 км</w:t>
            </w:r>
          </w:p>
        </w:tc>
        <w:tc>
          <w:tcPr>
            <w:tcW w:w="1809" w:type="dxa"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  <w:rPr>
                <w:lang w:val="ru-RU"/>
              </w:rPr>
            </w:pPr>
            <w:r w:rsidRPr="006D2AB4">
              <w:t>0,</w:t>
            </w:r>
            <w:r w:rsidRPr="006D2AB4">
              <w:rPr>
                <w:lang w:val="ru-RU"/>
              </w:rPr>
              <w:t>70</w:t>
            </w:r>
          </w:p>
        </w:tc>
      </w:tr>
      <w:tr w:rsidR="006D2AB4" w:rsidRPr="006D2AB4" w:rsidTr="00016D33">
        <w:trPr>
          <w:trHeight w:val="280"/>
          <w:jc w:val="center"/>
        </w:trPr>
        <w:tc>
          <w:tcPr>
            <w:tcW w:w="6413" w:type="dxa"/>
            <w:vMerge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</w:pPr>
          </w:p>
        </w:tc>
        <w:tc>
          <w:tcPr>
            <w:tcW w:w="1451" w:type="dxa"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</w:pPr>
            <w:r w:rsidRPr="006D2AB4">
              <w:t>с 251 км</w:t>
            </w:r>
          </w:p>
        </w:tc>
        <w:tc>
          <w:tcPr>
            <w:tcW w:w="1809" w:type="dxa"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  <w:rPr>
                <w:lang w:val="ru-RU"/>
              </w:rPr>
            </w:pPr>
            <w:r w:rsidRPr="006D2AB4">
              <w:t>0,7</w:t>
            </w:r>
            <w:r w:rsidRPr="006D2AB4">
              <w:rPr>
                <w:lang w:val="ru-RU"/>
              </w:rPr>
              <w:t>5</w:t>
            </w:r>
          </w:p>
        </w:tc>
      </w:tr>
    </w:tbl>
    <w:p w:rsidR="006D2AB4" w:rsidRPr="006D2AB4" w:rsidRDefault="006D2AB4" w:rsidP="006D2AB4">
      <w:pPr>
        <w:pStyle w:val="aa"/>
        <w:ind w:left="0"/>
        <w:jc w:val="both"/>
        <w:rPr>
          <w:sz w:val="28"/>
          <w:szCs w:val="28"/>
          <w:lang w:val="ru-RU"/>
        </w:rPr>
      </w:pPr>
    </w:p>
    <w:p w:rsidR="006D2AB4" w:rsidRPr="006D2AB4" w:rsidRDefault="006D2AB4" w:rsidP="006D2AB4">
      <w:pPr>
        <w:pStyle w:val="aa"/>
        <w:numPr>
          <w:ilvl w:val="0"/>
          <w:numId w:val="9"/>
        </w:numPr>
        <w:spacing w:line="360" w:lineRule="exact"/>
        <w:ind w:left="142" w:firstLine="284"/>
        <w:jc w:val="both"/>
        <w:rPr>
          <w:sz w:val="28"/>
          <w:szCs w:val="28"/>
          <w:lang w:val="ru-RU"/>
        </w:rPr>
      </w:pPr>
      <w:r w:rsidRPr="006D2AB4">
        <w:rPr>
          <w:sz w:val="28"/>
          <w:szCs w:val="28"/>
          <w:lang w:val="ru-RU"/>
        </w:rPr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 (кроме перевозки контейнеров в составе прямого ускоренного поезда), дополнительно к Таблице 1 будет применятся коэффициент 0,8;</w:t>
      </w:r>
    </w:p>
    <w:p w:rsidR="006D2AB4" w:rsidRPr="006D2AB4" w:rsidRDefault="006D2AB4" w:rsidP="006D2AB4">
      <w:pPr>
        <w:pStyle w:val="aa"/>
        <w:numPr>
          <w:ilvl w:val="0"/>
          <w:numId w:val="9"/>
        </w:numPr>
        <w:spacing w:line="360" w:lineRule="exact"/>
        <w:ind w:left="142" w:firstLine="284"/>
        <w:jc w:val="both"/>
        <w:rPr>
          <w:sz w:val="28"/>
          <w:szCs w:val="28"/>
          <w:lang w:val="ru-RU"/>
        </w:rPr>
      </w:pPr>
      <w:r w:rsidRPr="006D2AB4">
        <w:rPr>
          <w:sz w:val="28"/>
          <w:szCs w:val="28"/>
          <w:lang w:val="ru-RU"/>
        </w:rPr>
        <w:t>при расчете провозной платы за перевозки груженых вагонов, отправляемых со станций ЗАО «ЮКЖД» с назначением на станции ЗАО «ЮКЖД», дополнительно к Таблице 1 будет применятся коэффициент 0,5 (кроме расчета грузов, указанных в пункте 2.5 ТП ЗАО «ЮКЖД» на 2019 год);</w:t>
      </w:r>
    </w:p>
    <w:p w:rsidR="006D2AB4" w:rsidRPr="006D2AB4" w:rsidRDefault="006D2AB4" w:rsidP="006D2AB4">
      <w:pPr>
        <w:pStyle w:val="aa"/>
        <w:numPr>
          <w:ilvl w:val="0"/>
          <w:numId w:val="9"/>
        </w:numPr>
        <w:spacing w:line="360" w:lineRule="exact"/>
        <w:ind w:left="142" w:firstLine="284"/>
        <w:jc w:val="both"/>
        <w:rPr>
          <w:sz w:val="28"/>
          <w:szCs w:val="28"/>
          <w:lang w:val="ru-RU"/>
        </w:rPr>
      </w:pPr>
      <w:r w:rsidRPr="006D2AB4"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1.14.10 «Тарифной политики ЗАО «ЮКЖД» на перевозки грузов железнодорожным транспортом на 2019 фрахтовый год», не будет применятся.</w:t>
      </w:r>
    </w:p>
    <w:p w:rsidR="00EA49D8" w:rsidRDefault="00EA49D8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9D8" w:rsidRDefault="00EA49D8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2AB4" w:rsidRDefault="006D2AB4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2AB4" w:rsidRDefault="006D2AB4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2AB4" w:rsidRDefault="006D2AB4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2AB4" w:rsidRDefault="006D2AB4" w:rsidP="00EA49D8">
      <w:pPr>
        <w:pStyle w:val="a3"/>
        <w:tabs>
          <w:tab w:val="left" w:pos="851"/>
        </w:tabs>
        <w:spacing w:line="360" w:lineRule="auto"/>
        <w:ind w:left="142" w:right="-14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2AB4" w:rsidRPr="00890054" w:rsidRDefault="006D2AB4" w:rsidP="006D2AB4">
      <w:pPr>
        <w:spacing w:line="360" w:lineRule="exact"/>
        <w:ind w:left="284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sz w:val="28"/>
          <w:szCs w:val="28"/>
          <w:lang w:val="ru-RU"/>
        </w:rPr>
        <w:lastRenderedPageBreak/>
        <w:t>201</w:t>
      </w:r>
      <w:r>
        <w:rPr>
          <w:sz w:val="28"/>
          <w:szCs w:val="28"/>
          <w:lang w:val="ru-RU"/>
        </w:rPr>
        <w:t>9</w:t>
      </w:r>
      <w:r w:rsidRPr="00890054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890054" w:rsidRDefault="006D2AB4" w:rsidP="006D2AB4">
      <w:pPr>
        <w:numPr>
          <w:ilvl w:val="0"/>
          <w:numId w:val="10"/>
        </w:numPr>
        <w:tabs>
          <w:tab w:val="left" w:pos="993"/>
        </w:tabs>
        <w:spacing w:line="36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01.0</w:t>
      </w:r>
      <w:r w:rsidRPr="006D2AB4">
        <w:rPr>
          <w:rFonts w:ascii="Sylfaen" w:hAnsi="Sylfaen"/>
          <w:sz w:val="28"/>
          <w:szCs w:val="28"/>
          <w:lang w:val="hy-AM"/>
        </w:rPr>
        <w:t>4</w:t>
      </w:r>
      <w:r w:rsidRPr="00890054">
        <w:rPr>
          <w:rFonts w:ascii="Sylfaen" w:hAnsi="Sylfaen"/>
          <w:sz w:val="28"/>
          <w:szCs w:val="28"/>
          <w:lang w:val="hy-AM"/>
        </w:rPr>
        <w:t>.201</w:t>
      </w:r>
      <w:r w:rsidRPr="006D2AB4">
        <w:rPr>
          <w:rFonts w:ascii="Sylfaen" w:hAnsi="Sylfaen"/>
          <w:sz w:val="28"/>
          <w:szCs w:val="28"/>
          <w:lang w:val="hy-AM"/>
        </w:rPr>
        <w:t>9</w:t>
      </w:r>
      <w:r w:rsidRPr="00890054">
        <w:rPr>
          <w:rFonts w:ascii="Sylfaen" w:hAnsi="Sylfaen"/>
          <w:sz w:val="28"/>
          <w:szCs w:val="28"/>
          <w:lang w:val="hy-AM"/>
        </w:rPr>
        <w:t>թ. - 30.0</w:t>
      </w:r>
      <w:r w:rsidRPr="006D2AB4">
        <w:rPr>
          <w:rFonts w:ascii="Sylfaen" w:hAnsi="Sylfaen"/>
          <w:sz w:val="28"/>
          <w:szCs w:val="28"/>
          <w:lang w:val="hy-AM"/>
        </w:rPr>
        <w:t>6</w:t>
      </w:r>
      <w:r w:rsidRPr="00890054">
        <w:rPr>
          <w:rFonts w:ascii="Sylfaen" w:hAnsi="Sylfaen"/>
          <w:sz w:val="28"/>
          <w:szCs w:val="28"/>
          <w:lang w:val="hy-AM"/>
        </w:rPr>
        <w:t>.201</w:t>
      </w:r>
      <w:r w:rsidRPr="006D2AB4">
        <w:rPr>
          <w:rFonts w:ascii="Sylfaen" w:hAnsi="Sylfaen"/>
          <w:sz w:val="28"/>
          <w:szCs w:val="28"/>
          <w:lang w:val="hy-AM"/>
        </w:rPr>
        <w:t>9</w:t>
      </w:r>
      <w:r w:rsidRPr="00890054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6D2AB4" w:rsidRPr="00890054" w:rsidRDefault="006D2AB4" w:rsidP="006D2AB4">
      <w:pPr>
        <w:spacing w:line="36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73"/>
        <w:gridCol w:w="1770"/>
      </w:tblGrid>
      <w:tr w:rsidR="006D2AB4" w:rsidRPr="00890054" w:rsidTr="006D2AB4">
        <w:trPr>
          <w:trHeight w:val="733"/>
        </w:trPr>
        <w:tc>
          <w:tcPr>
            <w:tcW w:w="6062" w:type="dxa"/>
            <w:vAlign w:val="center"/>
          </w:tcPr>
          <w:p w:rsidR="006D2AB4" w:rsidRPr="00890054" w:rsidRDefault="006D2AB4" w:rsidP="00016D33">
            <w:pPr>
              <w:ind w:left="284" w:hanging="284"/>
              <w:jc w:val="center"/>
              <w:rPr>
                <w:rFonts w:ascii="Sylfaen" w:hAnsi="Sylfaen"/>
                <w:b/>
                <w:lang w:val="hy-AM"/>
              </w:rPr>
            </w:pPr>
            <w:r w:rsidRPr="00890054">
              <w:rPr>
                <w:rFonts w:ascii="Sylfaen" w:hAnsi="Sylfaen"/>
                <w:b/>
                <w:lang w:val="hy-AM"/>
              </w:rPr>
              <w:t>Շարժակազմի տեսակը</w:t>
            </w:r>
          </w:p>
        </w:tc>
        <w:tc>
          <w:tcPr>
            <w:tcW w:w="1973" w:type="dxa"/>
            <w:vAlign w:val="center"/>
          </w:tcPr>
          <w:p w:rsidR="006D2AB4" w:rsidRPr="00890054" w:rsidRDefault="006D2AB4" w:rsidP="00016D33">
            <w:pPr>
              <w:ind w:left="284" w:hanging="284"/>
              <w:jc w:val="center"/>
              <w:rPr>
                <w:rFonts w:ascii="Sylfaen" w:hAnsi="Sylfaen"/>
                <w:b/>
                <w:lang w:val="hy-AM"/>
              </w:rPr>
            </w:pPr>
            <w:r w:rsidRPr="00890054">
              <w:rPr>
                <w:rFonts w:ascii="Sylfaen" w:hAnsi="Sylfaen"/>
                <w:b/>
                <w:lang w:val="hy-AM"/>
              </w:rPr>
              <w:t>Հեռավորության գոտի</w:t>
            </w:r>
          </w:p>
        </w:tc>
        <w:tc>
          <w:tcPr>
            <w:tcW w:w="1770" w:type="dxa"/>
            <w:vAlign w:val="center"/>
          </w:tcPr>
          <w:p w:rsidR="006D2AB4" w:rsidRPr="00890054" w:rsidRDefault="006D2AB4" w:rsidP="00016D33">
            <w:pPr>
              <w:ind w:left="284" w:hanging="284"/>
              <w:jc w:val="center"/>
              <w:rPr>
                <w:rFonts w:ascii="Sylfaen" w:hAnsi="Sylfaen"/>
                <w:b/>
                <w:lang w:val="hy-AM"/>
              </w:rPr>
            </w:pPr>
            <w:r w:rsidRPr="00890054">
              <w:rPr>
                <w:rFonts w:ascii="Sylfaen" w:hAnsi="Sylfaen"/>
                <w:b/>
                <w:lang w:val="hy-AM"/>
              </w:rPr>
              <w:t>Գործակիցը</w:t>
            </w:r>
          </w:p>
        </w:tc>
      </w:tr>
      <w:tr w:rsidR="006D2AB4" w:rsidRPr="00890054" w:rsidTr="006D2AB4">
        <w:trPr>
          <w:trHeight w:val="706"/>
        </w:trPr>
        <w:tc>
          <w:tcPr>
            <w:tcW w:w="6062" w:type="dxa"/>
            <w:vMerge w:val="restart"/>
            <w:vAlign w:val="center"/>
          </w:tcPr>
          <w:p w:rsidR="006D2AB4" w:rsidRPr="00890054" w:rsidRDefault="006D2AB4" w:rsidP="006D2AB4">
            <w:pPr>
              <w:pStyle w:val="aa"/>
              <w:numPr>
                <w:ilvl w:val="0"/>
                <w:numId w:val="11"/>
              </w:numPr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 w:cs="Sylfaen"/>
                <w:lang w:val="hy-AM"/>
              </w:rPr>
              <w:t>Համապիտանի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շարժակազմ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և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մասնագիտացված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շարժակազմ</w:t>
            </w:r>
            <w:r w:rsidRPr="00890054">
              <w:rPr>
                <w:rFonts w:ascii="Sylfaen" w:hAnsi="Sylfaen"/>
                <w:lang w:val="hy-AM"/>
              </w:rPr>
              <w:t xml:space="preserve"> (</w:t>
            </w:r>
            <w:r w:rsidRPr="00890054">
              <w:rPr>
                <w:rFonts w:ascii="Sylfaen" w:hAnsi="Sylfaen" w:cs="Sylfaen"/>
                <w:lang w:val="hy-AM"/>
              </w:rPr>
              <w:t>բացառությամբ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այն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շարժակազմի</w:t>
            </w:r>
            <w:r w:rsidRPr="00890054">
              <w:rPr>
                <w:rFonts w:ascii="Sylfaen" w:hAnsi="Sylfaen"/>
                <w:lang w:val="hy-AM"/>
              </w:rPr>
              <w:t xml:space="preserve">, </w:t>
            </w:r>
            <w:r w:rsidRPr="00890054">
              <w:rPr>
                <w:rFonts w:ascii="Sylfaen" w:hAnsi="Sylfaen" w:cs="Sylfaen"/>
                <w:lang w:val="hy-AM"/>
              </w:rPr>
              <w:t>որի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սակագնի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դրույքաչափերը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նշված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են</w:t>
            </w:r>
            <w:r w:rsidRPr="00890054">
              <w:rPr>
                <w:rFonts w:ascii="Sylfaen" w:hAnsi="Sylfaen"/>
                <w:lang w:val="hy-AM"/>
              </w:rPr>
              <w:t xml:space="preserve"> «</w:t>
            </w:r>
            <w:r w:rsidRPr="00890054">
              <w:rPr>
                <w:rFonts w:ascii="Sylfaen" w:hAnsi="Sylfaen" w:cs="Sylfaen"/>
                <w:lang w:val="hy-AM"/>
              </w:rPr>
              <w:t>ՀԿԵ</w:t>
            </w:r>
            <w:r w:rsidRPr="00890054">
              <w:rPr>
                <w:rFonts w:ascii="Sylfaen" w:hAnsi="Sylfaen"/>
                <w:lang w:val="hy-AM"/>
              </w:rPr>
              <w:t xml:space="preserve">» </w:t>
            </w:r>
            <w:r w:rsidRPr="00890054">
              <w:rPr>
                <w:rFonts w:ascii="Sylfaen" w:hAnsi="Sylfaen" w:cs="Sylfaen"/>
                <w:lang w:val="hy-AM"/>
              </w:rPr>
              <w:t>ՓԲԸ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ՍՔ</w:t>
            </w:r>
            <w:r w:rsidRPr="00890054">
              <w:rPr>
                <w:rFonts w:ascii="Sylfaen" w:hAnsi="Sylfaen"/>
                <w:lang w:val="hy-AM"/>
              </w:rPr>
              <w:t xml:space="preserve"> 2-3 </w:t>
            </w:r>
            <w:r w:rsidRPr="00890054">
              <w:rPr>
                <w:rFonts w:ascii="Sylfaen" w:hAnsi="Sylfaen" w:cs="Sylfaen"/>
                <w:lang w:val="hy-AM"/>
              </w:rPr>
              <w:t>հավելվածում</w:t>
            </w:r>
            <w:r w:rsidRPr="00890054">
              <w:rPr>
                <w:rFonts w:ascii="Sylfaen" w:hAnsi="Sylfaen" w:cs="Sylfaen"/>
              </w:rPr>
              <w:t>,</w:t>
            </w:r>
            <w:r w:rsidRPr="00890054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890054">
              <w:rPr>
                <w:rFonts w:ascii="Sylfaen" w:hAnsi="Sylfaen" w:cs="Sylfaen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քարշային շարժակազմի</w:t>
            </w:r>
            <w:r w:rsidRPr="00890054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73" w:type="dxa"/>
            <w:vAlign w:val="center"/>
          </w:tcPr>
          <w:p w:rsidR="006D2AB4" w:rsidRPr="00890054" w:rsidRDefault="006D2AB4" w:rsidP="00016D33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770" w:type="dxa"/>
            <w:vAlign w:val="center"/>
          </w:tcPr>
          <w:p w:rsidR="006D2AB4" w:rsidRPr="00890054" w:rsidRDefault="006D2AB4" w:rsidP="00016D33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 w:rsidRPr="00890054">
              <w:t>0,</w:t>
            </w:r>
            <w:r w:rsidRPr="00890054">
              <w:rPr>
                <w:lang w:val="ru-RU"/>
              </w:rPr>
              <w:t>93</w:t>
            </w:r>
          </w:p>
        </w:tc>
      </w:tr>
      <w:tr w:rsidR="006D2AB4" w:rsidRPr="00890054" w:rsidTr="006D2AB4">
        <w:trPr>
          <w:trHeight w:val="648"/>
        </w:trPr>
        <w:tc>
          <w:tcPr>
            <w:tcW w:w="6062" w:type="dxa"/>
            <w:vMerge/>
            <w:vAlign w:val="center"/>
          </w:tcPr>
          <w:p w:rsidR="006D2AB4" w:rsidRPr="00890054" w:rsidRDefault="006D2AB4" w:rsidP="00016D33">
            <w:pPr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73" w:type="dxa"/>
            <w:vAlign w:val="center"/>
          </w:tcPr>
          <w:p w:rsidR="006D2AB4" w:rsidRPr="00890054" w:rsidRDefault="006D2AB4" w:rsidP="00016D33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770" w:type="dxa"/>
            <w:vAlign w:val="center"/>
          </w:tcPr>
          <w:p w:rsidR="006D2AB4" w:rsidRPr="00890054" w:rsidRDefault="006D2AB4" w:rsidP="00016D33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 w:rsidRPr="00890054">
              <w:t>0,9</w:t>
            </w:r>
            <w:r w:rsidRPr="00890054">
              <w:rPr>
                <w:lang w:val="ru-RU"/>
              </w:rPr>
              <w:t>6</w:t>
            </w:r>
          </w:p>
        </w:tc>
      </w:tr>
      <w:tr w:rsidR="006D2AB4" w:rsidRPr="00890054" w:rsidTr="006D2AB4">
        <w:tc>
          <w:tcPr>
            <w:tcW w:w="6062" w:type="dxa"/>
            <w:vMerge w:val="restart"/>
            <w:vAlign w:val="center"/>
          </w:tcPr>
          <w:p w:rsidR="006D2AB4" w:rsidRPr="00890054" w:rsidRDefault="006D2AB4" w:rsidP="006D2AB4">
            <w:pPr>
              <w:pStyle w:val="aa"/>
              <w:numPr>
                <w:ilvl w:val="0"/>
                <w:numId w:val="11"/>
              </w:numPr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 w:cs="Sylfaen"/>
                <w:lang w:val="hy-AM"/>
              </w:rPr>
              <w:t>Նավթաբենզինային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գլանատակառներ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և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բունկերային</w:t>
            </w:r>
            <w:r w:rsidRPr="00890054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73" w:type="dxa"/>
            <w:vAlign w:val="center"/>
          </w:tcPr>
          <w:p w:rsidR="006D2AB4" w:rsidRPr="00890054" w:rsidRDefault="006D2AB4" w:rsidP="00016D33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770" w:type="dxa"/>
            <w:vAlign w:val="center"/>
          </w:tcPr>
          <w:p w:rsidR="006D2AB4" w:rsidRPr="00890054" w:rsidRDefault="006D2AB4" w:rsidP="00016D33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 w:rsidRPr="00890054">
              <w:t>0,</w:t>
            </w:r>
            <w:r w:rsidRPr="00890054">
              <w:rPr>
                <w:lang w:val="ru-RU"/>
              </w:rPr>
              <w:t>70</w:t>
            </w:r>
          </w:p>
        </w:tc>
      </w:tr>
      <w:tr w:rsidR="006D2AB4" w:rsidRPr="00890054" w:rsidTr="006D2AB4">
        <w:tc>
          <w:tcPr>
            <w:tcW w:w="6062" w:type="dxa"/>
            <w:vMerge/>
          </w:tcPr>
          <w:p w:rsidR="006D2AB4" w:rsidRPr="00890054" w:rsidRDefault="006D2AB4" w:rsidP="00016D33">
            <w:pPr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73" w:type="dxa"/>
            <w:vAlign w:val="center"/>
          </w:tcPr>
          <w:p w:rsidR="006D2AB4" w:rsidRPr="00890054" w:rsidRDefault="006D2AB4" w:rsidP="00016D33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770" w:type="dxa"/>
            <w:vAlign w:val="center"/>
          </w:tcPr>
          <w:p w:rsidR="006D2AB4" w:rsidRPr="00890054" w:rsidRDefault="006D2AB4" w:rsidP="00016D33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 w:rsidRPr="00890054">
              <w:t>0,7</w:t>
            </w:r>
            <w:r w:rsidRPr="00890054">
              <w:rPr>
                <w:lang w:val="ru-RU"/>
              </w:rPr>
              <w:t>5</w:t>
            </w:r>
          </w:p>
        </w:tc>
      </w:tr>
    </w:tbl>
    <w:p w:rsidR="006D2AB4" w:rsidRPr="00890054" w:rsidRDefault="006D2AB4" w:rsidP="006D2AB4">
      <w:pPr>
        <w:tabs>
          <w:tab w:val="left" w:pos="993"/>
        </w:tabs>
        <w:spacing w:line="360" w:lineRule="auto"/>
        <w:ind w:left="284" w:hanging="284"/>
        <w:jc w:val="both"/>
        <w:rPr>
          <w:rFonts w:ascii="Sylfaen" w:hAnsi="Sylfaen"/>
          <w:sz w:val="28"/>
          <w:szCs w:val="28"/>
          <w:lang w:val="hy-AM"/>
        </w:rPr>
      </w:pPr>
    </w:p>
    <w:p w:rsidR="006D2AB4" w:rsidRPr="00890054" w:rsidRDefault="006D2AB4" w:rsidP="006D2AB4">
      <w:pPr>
        <w:numPr>
          <w:ilvl w:val="0"/>
          <w:numId w:val="10"/>
        </w:numPr>
        <w:tabs>
          <w:tab w:val="left" w:pos="993"/>
        </w:tabs>
        <w:spacing w:line="360" w:lineRule="exact"/>
        <w:ind w:left="426" w:firstLine="0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 xml:space="preserve">Կովկաս-Փոթի-Կովկաս երկաթուղային լաստանավային հաղորդակցության միջոցով միջազգային հաղորդակցությունում բեռների (բացառությամբ </w:t>
      </w:r>
      <w:r w:rsidRPr="006D2AB4">
        <w:rPr>
          <w:rFonts w:ascii="Sylfaen" w:hAnsi="Sylfaen"/>
          <w:sz w:val="28"/>
          <w:szCs w:val="28"/>
          <w:lang w:val="hy-AM"/>
        </w:rPr>
        <w:t>արագացված գնացքների կազմում</w:t>
      </w:r>
      <w:r>
        <w:rPr>
          <w:rFonts w:ascii="Sylfaen" w:hAnsi="Sylfaen"/>
          <w:sz w:val="28"/>
          <w:szCs w:val="28"/>
          <w:lang w:val="hy-AM"/>
        </w:rPr>
        <w:t xml:space="preserve"> բեռնարկղերի փոխադրավարձի հաշվարկի</w:t>
      </w:r>
      <w:r w:rsidRPr="00890054">
        <w:rPr>
          <w:rFonts w:ascii="Sylfaen" w:hAnsi="Sylfaen"/>
          <w:sz w:val="28"/>
          <w:szCs w:val="28"/>
          <w:lang w:val="hy-AM"/>
        </w:rPr>
        <w:t>)</w:t>
      </w:r>
      <w:r w:rsidRPr="006D2AB4">
        <w:rPr>
          <w:rFonts w:ascii="Sylfaen" w:hAnsi="Sylfaen"/>
          <w:sz w:val="28"/>
          <w:szCs w:val="28"/>
          <w:lang w:val="hy-AM"/>
        </w:rPr>
        <w:t xml:space="preserve"> </w:t>
      </w:r>
      <w:r w:rsidRPr="00890054">
        <w:rPr>
          <w:rFonts w:ascii="Sylfaen" w:hAnsi="Sylfaen"/>
          <w:sz w:val="28"/>
          <w:szCs w:val="28"/>
          <w:lang w:val="hy-AM"/>
        </w:rPr>
        <w:t>փոխադրման վճարը հաշվարկելիս՝ «Աղյուսակ 1»-ին լրացուցիչ կկիրառվի 0,8 գործակիցը:</w:t>
      </w:r>
    </w:p>
    <w:p w:rsidR="006D2AB4" w:rsidRPr="00890054" w:rsidRDefault="006D2AB4" w:rsidP="006D2AB4">
      <w:pPr>
        <w:numPr>
          <w:ilvl w:val="0"/>
          <w:numId w:val="10"/>
        </w:numPr>
        <w:tabs>
          <w:tab w:val="left" w:pos="993"/>
        </w:tabs>
        <w:spacing w:line="360" w:lineRule="exact"/>
        <w:ind w:left="426" w:firstLine="0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 xml:space="preserve"> «ՀԿԵ» ՓԲԸ կայարաններից դեպի «ՀԿԵ» ՓԲԸ կայարաններ նշանակոմուվ բեռների փոխադրման համար փոխադրավճարը հաշվարկելիս՝ «Աղյուսակ 1»-ին լրացուցիչ կկիրառվի 0,5</w:t>
      </w:r>
      <w:bookmarkStart w:id="0" w:name="_GoBack"/>
      <w:bookmarkEnd w:id="0"/>
      <w:r w:rsidRPr="00890054">
        <w:rPr>
          <w:rFonts w:ascii="Sylfaen" w:hAnsi="Sylfaen"/>
          <w:sz w:val="28"/>
          <w:szCs w:val="28"/>
          <w:lang w:val="hy-AM"/>
        </w:rPr>
        <w:t xml:space="preserve"> գործակիցը (բացառությամբ 201</w:t>
      </w:r>
      <w:r>
        <w:rPr>
          <w:rFonts w:ascii="Sylfaen" w:hAnsi="Sylfaen"/>
          <w:sz w:val="28"/>
          <w:szCs w:val="28"/>
          <w:lang w:val="hy-AM"/>
        </w:rPr>
        <w:t>9</w:t>
      </w:r>
      <w:r w:rsidRPr="00890054">
        <w:rPr>
          <w:rFonts w:ascii="Sylfaen" w:hAnsi="Sylfaen"/>
          <w:sz w:val="28"/>
          <w:szCs w:val="28"/>
          <w:lang w:val="hy-AM"/>
        </w:rPr>
        <w:t>թ. ՍՔ 2.5 կետում նշված բեռների հաշվարկի):</w:t>
      </w:r>
    </w:p>
    <w:p w:rsidR="006D2AB4" w:rsidRPr="00890054" w:rsidRDefault="006D2AB4" w:rsidP="006D2AB4">
      <w:pPr>
        <w:numPr>
          <w:ilvl w:val="0"/>
          <w:numId w:val="10"/>
        </w:numPr>
        <w:tabs>
          <w:tab w:val="left" w:pos="993"/>
        </w:tabs>
        <w:spacing w:line="360" w:lineRule="exact"/>
        <w:ind w:left="426" w:firstLine="0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890054">
        <w:rPr>
          <w:rFonts w:ascii="Sylfaen" w:hAnsi="Sylfaen"/>
          <w:sz w:val="28"/>
          <w:szCs w:val="28"/>
          <w:lang w:val="hy-AM"/>
        </w:rPr>
        <w:softHyphen/>
        <w:t>դրա</w:t>
      </w:r>
      <w:r w:rsidRPr="00890054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201</w:t>
      </w:r>
      <w:r>
        <w:rPr>
          <w:rFonts w:ascii="Sylfaen" w:hAnsi="Sylfaen"/>
          <w:sz w:val="28"/>
          <w:szCs w:val="28"/>
          <w:lang w:val="hy-AM"/>
        </w:rPr>
        <w:t>9</w:t>
      </w:r>
      <w:r w:rsidRPr="00890054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1.14.10 կետը չի կիրառվում:</w:t>
      </w:r>
    </w:p>
    <w:p w:rsidR="00215D7F" w:rsidRPr="006D2AB4" w:rsidRDefault="00215D7F" w:rsidP="006D2AB4">
      <w:pPr>
        <w:spacing w:line="360" w:lineRule="exact"/>
        <w:ind w:left="426"/>
        <w:rPr>
          <w:rFonts w:ascii="Sylfaen" w:hAnsi="Sylfaen"/>
          <w:sz w:val="28"/>
          <w:szCs w:val="28"/>
          <w:lang w:val="hy-AM"/>
        </w:rPr>
      </w:pPr>
    </w:p>
    <w:sectPr w:rsidR="00215D7F" w:rsidRPr="006D2AB4" w:rsidSect="002C1AFC">
      <w:pgSz w:w="12240" w:h="15840"/>
      <w:pgMar w:top="851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39" w:rsidRDefault="00A64E39">
      <w:r>
        <w:separator/>
      </w:r>
    </w:p>
  </w:endnote>
  <w:endnote w:type="continuationSeparator" w:id="0">
    <w:p w:rsidR="00A64E39" w:rsidRDefault="00A6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39" w:rsidRDefault="00A64E39">
      <w:r>
        <w:separator/>
      </w:r>
    </w:p>
  </w:footnote>
  <w:footnote w:type="continuationSeparator" w:id="0">
    <w:p w:rsidR="00A64E39" w:rsidRDefault="00A6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5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D5368"/>
    <w:rsid w:val="001D6598"/>
    <w:rsid w:val="001E3A27"/>
    <w:rsid w:val="001F0CF0"/>
    <w:rsid w:val="001F24EB"/>
    <w:rsid w:val="002001D3"/>
    <w:rsid w:val="00201F7A"/>
    <w:rsid w:val="002035C5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D5E03"/>
    <w:rsid w:val="007E0C47"/>
    <w:rsid w:val="007E1729"/>
    <w:rsid w:val="007E5857"/>
    <w:rsid w:val="00802261"/>
    <w:rsid w:val="008258A8"/>
    <w:rsid w:val="00832F0C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0E0A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90A"/>
    <w:rsid w:val="00CF6469"/>
    <w:rsid w:val="00D04657"/>
    <w:rsid w:val="00D2452B"/>
    <w:rsid w:val="00D30876"/>
    <w:rsid w:val="00D320F3"/>
    <w:rsid w:val="00D35ED1"/>
    <w:rsid w:val="00D67A6D"/>
    <w:rsid w:val="00D7449C"/>
    <w:rsid w:val="00D915BD"/>
    <w:rsid w:val="00D94651"/>
    <w:rsid w:val="00DA59CB"/>
    <w:rsid w:val="00DB14A0"/>
    <w:rsid w:val="00DB26E8"/>
    <w:rsid w:val="00DB7CD3"/>
    <w:rsid w:val="00DB7EFF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3B87"/>
    <w:rsid w:val="00E84B23"/>
    <w:rsid w:val="00E945DF"/>
    <w:rsid w:val="00E94FA4"/>
    <w:rsid w:val="00EA49D8"/>
    <w:rsid w:val="00EA6657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7A82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9FE4-F2B6-447B-9164-44C0EBC9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Хачатуровна Закарян</cp:lastModifiedBy>
  <cp:revision>22</cp:revision>
  <cp:lastPrinted>2017-01-18T06:32:00Z</cp:lastPrinted>
  <dcterms:created xsi:type="dcterms:W3CDTF">2017-03-22T08:11:00Z</dcterms:created>
  <dcterms:modified xsi:type="dcterms:W3CDTF">2019-03-15T08:40:00Z</dcterms:modified>
</cp:coreProperties>
</file>